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EB88" w14:textId="42F9FFD4" w:rsidR="008D5661" w:rsidRPr="008D5661" w:rsidRDefault="008D5661" w:rsidP="008D5661">
      <w:pPr>
        <w:tabs>
          <w:tab w:val="left" w:pos="1540"/>
        </w:tabs>
        <w:ind w:right="55"/>
        <w:rPr>
          <w:b/>
          <w:bCs/>
          <w:sz w:val="24"/>
          <w:szCs w:val="24"/>
        </w:rPr>
      </w:pPr>
      <w:r w:rsidRPr="008D5661">
        <w:rPr>
          <w:rFonts w:ascii="Trebuchet MS" w:hAnsi="Trebuchet M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4479966" wp14:editId="0143CD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60F7F" id="Rechteck 28" o:spid="_x0000_s1026" style="position:absolute;margin-left:0;margin-top:0;width:465.75pt;height:24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" fillcolor="#d8d8d8" stroked="f"/>
            </w:pict>
          </mc:Fallback>
        </mc:AlternateContent>
      </w:r>
      <w:r w:rsidRPr="008D5661">
        <w:rPr>
          <w:b/>
          <w:bCs/>
          <w:sz w:val="28"/>
          <w:szCs w:val="28"/>
        </w:rPr>
        <w:t>Franziska Ruder ist am Telefon:</w:t>
      </w:r>
      <w:r w:rsidRPr="008D5661">
        <w:rPr>
          <w:b/>
          <w:bCs/>
          <w:sz w:val="24"/>
          <w:szCs w:val="24"/>
        </w:rPr>
        <w:tab/>
      </w:r>
    </w:p>
    <w:p w14:paraId="346EFFD7" w14:textId="269FA7DF" w:rsidR="00F97B0C" w:rsidRDefault="008D5661" w:rsidP="002F6F31">
      <w:pPr>
        <w:ind w:right="55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DA87C" wp14:editId="1B5B06D2">
                <wp:simplePos x="0" y="0"/>
                <wp:positionH relativeFrom="margin">
                  <wp:posOffset>1355062</wp:posOffset>
                </wp:positionH>
                <wp:positionV relativeFrom="paragraph">
                  <wp:posOffset>202979</wp:posOffset>
                </wp:positionV>
                <wp:extent cx="4872355" cy="3654453"/>
                <wp:effectExtent l="990600" t="19050" r="42545" b="41275"/>
                <wp:wrapNone/>
                <wp:docPr id="2" name="Sprechblas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2355" cy="3654453"/>
                        </a:xfrm>
                        <a:prstGeom prst="wedgeEllipseCallout">
                          <a:avLst>
                            <a:gd name="adj1" fmla="val -69822"/>
                            <a:gd name="adj2" fmla="val -925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A902B" w14:textId="2A7EBBA3" w:rsidR="008D5661" w:rsidRPr="008D5661" w:rsidRDefault="008D5661" w:rsidP="008D566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8D5661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Hallo, ich brauche Ihre Unterstützung für das heutige Quartalsmeeting um 15:00 Uhr. Bitte berechnen Sie doch die betriebswirtschaftlichen Kennzahlen der TOPs.</w:t>
                            </w:r>
                          </w:p>
                          <w:p w14:paraId="69D45544" w14:textId="75626076" w:rsidR="008D5661" w:rsidRPr="008D5661" w:rsidRDefault="008D5661" w:rsidP="008D5661">
                            <w:pPr>
                              <w:ind w:right="5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Die Jamando GmbH hat für den Onlinevertrieb ein Eigenkapital von 1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000,00 EUR eingesetzt. Für das abgelaufene Geschäftsjahr wurde aus der GuV ein Gewinn in Höhe von 120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000,00 EUR abgelesen. Für das eingesetzte Fremdkapital i. H. v. 400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000,00 EUR wurden 10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500,00 EUR ausgegeben. Umsatzerlöse für Waren wurden 770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000,00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EUR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erzielt. Die Abschreibungen auf die IT-Anlagen schlugen mit 19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000,00 EUR zu Buche. Insgesamt waren 41 Mitarbeiter im Onlinevertrieb beschäftigt. Die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Gesamtaufwendungen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betragen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650</w:t>
                            </w:r>
                            <w:r w:rsidR="00B51C4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D566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000,00 EUR.</w:t>
                            </w:r>
                          </w:p>
                          <w:p w14:paraId="7DF6B737" w14:textId="7CDFAB65" w:rsidR="008D5661" w:rsidRPr="008D5661" w:rsidRDefault="008D5661" w:rsidP="008D56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BBF299E" w14:textId="77777777" w:rsidR="008D5661" w:rsidRPr="008D5661" w:rsidRDefault="008D5661" w:rsidP="008D56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DA87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2" o:spid="_x0000_s1026" type="#_x0000_t63" style="position:absolute;margin-left:106.7pt;margin-top:16pt;width:383.65pt;height:2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" adj="-4282,8801" fillcolor="white [3212]" strokecolor="#1f3763 [1604]" strokeweight="1pt">
                <v:textbox>
                  <w:txbxContent>
                    <w:p w14:paraId="7F8A902B" w14:textId="2A7EBBA3" w:rsidR="008D5661" w:rsidRPr="008D5661" w:rsidRDefault="008D5661" w:rsidP="008D566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</w:pPr>
                      <w:r w:rsidRPr="008D5661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>Hallo, ich brauche Ihre Unterstützung für das heutige Quartalsmeeting um 15:00 Uhr. Bitte berechnen Sie doch die betriebswirtschaftlichen Kennzahlen der TOPs.</w:t>
                      </w:r>
                    </w:p>
                    <w:p w14:paraId="69D45544" w14:textId="75626076" w:rsidR="008D5661" w:rsidRPr="008D5661" w:rsidRDefault="008D5661" w:rsidP="008D5661">
                      <w:pPr>
                        <w:ind w:right="5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Die Jamando GmbH hat für den Onlinevertrieb ein Eigenkapital von 1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000,00 EUR eingesetzt. Für das abgelaufene Geschäftsjahr wurde aus der GuV ein Gewinn in Höhe von 120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000,00 EUR abgelesen. Für das eingesetzte Fremdkapital i. H. v. 400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000,00 EUR wurden 10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500,00 EUR ausgegeben. Umsatzerlöse für Waren wurden 770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000,00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EUR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erzielt. Die Abschreibungen auf die IT-Anlagen schlugen mit 19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000,00 EUR zu Buche. Insgesamt waren 41 Mitarbeiter im Onlinevertrieb beschäftigt. Die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Gesamtaufwendungen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betragen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650</w:t>
                      </w:r>
                      <w:r w:rsidR="00B51C45"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D5661">
                        <w:rPr>
                          <w:color w:val="000000" w:themeColor="text1"/>
                          <w:sz w:val="20"/>
                          <w:szCs w:val="20"/>
                        </w:rPr>
                        <w:t>000,00 EUR.</w:t>
                      </w:r>
                    </w:p>
                    <w:p w14:paraId="7DF6B737" w14:textId="7CDFAB65" w:rsidR="008D5661" w:rsidRPr="008D5661" w:rsidRDefault="008D5661" w:rsidP="008D566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BBF299E" w14:textId="77777777" w:rsidR="008D5661" w:rsidRPr="008D5661" w:rsidRDefault="008D5661" w:rsidP="008D566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CA8F20" w14:textId="264EEAE0" w:rsidR="008D5661" w:rsidRDefault="008D5661" w:rsidP="002F6F31">
      <w:pPr>
        <w:ind w:right="55"/>
        <w:rPr>
          <w:sz w:val="24"/>
          <w:szCs w:val="24"/>
        </w:rPr>
      </w:pPr>
    </w:p>
    <w:p w14:paraId="5380B8BE" w14:textId="37852172" w:rsidR="00667F8F" w:rsidRDefault="00F97B0C" w:rsidP="002F6F31">
      <w:pPr>
        <w:ind w:right="55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7B58AD3" w14:textId="0960DB66" w:rsidR="00F97B0C" w:rsidRDefault="008D5661" w:rsidP="002F6F31">
      <w:pPr>
        <w:ind w:right="55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BCD290" wp14:editId="3D155BB7">
            <wp:simplePos x="0" y="0"/>
            <wp:positionH relativeFrom="column">
              <wp:posOffset>-319295</wp:posOffset>
            </wp:positionH>
            <wp:positionV relativeFrom="paragraph">
              <wp:posOffset>7896</wp:posOffset>
            </wp:positionV>
            <wp:extent cx="1582309" cy="1825163"/>
            <wp:effectExtent l="0" t="0" r="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82309" cy="1825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7C7C7" w14:textId="7118B815" w:rsidR="00F97B0C" w:rsidRDefault="00F97B0C" w:rsidP="002F6F31">
      <w:pPr>
        <w:ind w:right="55"/>
        <w:rPr>
          <w:sz w:val="24"/>
          <w:szCs w:val="24"/>
        </w:rPr>
      </w:pPr>
    </w:p>
    <w:p w14:paraId="3E9A2897" w14:textId="59653A9C" w:rsidR="00F97B0C" w:rsidRDefault="00F97B0C" w:rsidP="002F6F31">
      <w:pPr>
        <w:ind w:right="55"/>
        <w:rPr>
          <w:sz w:val="24"/>
          <w:szCs w:val="24"/>
        </w:rPr>
      </w:pPr>
    </w:p>
    <w:p w14:paraId="019FB2A9" w14:textId="385B9B4C" w:rsidR="008D5661" w:rsidRDefault="008D5661" w:rsidP="002F6F31">
      <w:pPr>
        <w:ind w:right="55"/>
        <w:rPr>
          <w:sz w:val="24"/>
          <w:szCs w:val="24"/>
        </w:rPr>
      </w:pPr>
    </w:p>
    <w:p w14:paraId="180568CF" w14:textId="22928326" w:rsidR="008D5661" w:rsidRDefault="008D5661" w:rsidP="002F6F31">
      <w:pPr>
        <w:ind w:right="55"/>
        <w:rPr>
          <w:sz w:val="24"/>
          <w:szCs w:val="24"/>
        </w:rPr>
      </w:pPr>
    </w:p>
    <w:p w14:paraId="69BE1A40" w14:textId="5B30D568" w:rsidR="008D5661" w:rsidRDefault="008D5661" w:rsidP="002F6F31">
      <w:pPr>
        <w:ind w:right="55"/>
        <w:rPr>
          <w:sz w:val="24"/>
          <w:szCs w:val="24"/>
        </w:rPr>
      </w:pPr>
    </w:p>
    <w:p w14:paraId="0EFE3DAC" w14:textId="4A90BA1D" w:rsidR="008D5661" w:rsidRDefault="008D5661" w:rsidP="002F6F31">
      <w:pPr>
        <w:ind w:right="55"/>
        <w:rPr>
          <w:sz w:val="24"/>
          <w:szCs w:val="24"/>
        </w:rPr>
      </w:pPr>
    </w:p>
    <w:p w14:paraId="2D40C114" w14:textId="65DA459A" w:rsidR="008D5661" w:rsidRDefault="008D5661" w:rsidP="002F6F31">
      <w:pPr>
        <w:ind w:right="55"/>
        <w:rPr>
          <w:sz w:val="24"/>
          <w:szCs w:val="24"/>
        </w:rPr>
      </w:pPr>
    </w:p>
    <w:p w14:paraId="7EE8E3C1" w14:textId="5B5F6D2B" w:rsidR="006D7099" w:rsidRDefault="006D7099"/>
    <w:p w14:paraId="76EBE9A1" w14:textId="6D8A5F37" w:rsidR="00667F8F" w:rsidRDefault="00667F8F" w:rsidP="00B51C45"/>
    <w:p w14:paraId="7073A4C8" w14:textId="77777777" w:rsidR="009428F7" w:rsidRDefault="009428F7" w:rsidP="00B51C45"/>
    <w:p w14:paraId="6129294A" w14:textId="77777777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</w:rPr>
            <m:t>EKR=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120 000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1 000 000</m:t>
              </m:r>
            </m:den>
          </m:f>
          <m:r>
            <w:rPr>
              <w:rFonts w:ascii="Cambria Math" w:hAnsi="Cambria Math"/>
              <w:color w:val="000000" w:themeColor="text1"/>
            </w:rPr>
            <m:t>*100=12 %</m:t>
          </m:r>
        </m:oMath>
      </m:oMathPara>
    </w:p>
    <w:p w14:paraId="369CD989" w14:textId="77777777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GKR=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120 000+10 500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1400000</m:t>
              </m:r>
            </m:den>
          </m:f>
          <m:r>
            <w:rPr>
              <w:rFonts w:ascii="Cambria Math" w:hAnsi="Cambria Math"/>
              <w:color w:val="000000" w:themeColor="text1"/>
            </w:rPr>
            <m:t>=9,32 %</m:t>
          </m:r>
        </m:oMath>
      </m:oMathPara>
    </w:p>
    <w:p w14:paraId="3E4324B7" w14:textId="615C8D12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UR=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120000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770000</m:t>
              </m:r>
            </m:den>
          </m:f>
          <m:r>
            <w:rPr>
              <w:rFonts w:ascii="Cambria Math" w:eastAsiaTheme="minorEastAsia" w:hAnsi="Cambria Math"/>
              <w:color w:val="000000" w:themeColor="text1"/>
            </w:rPr>
            <m:t>*100=15,58 %</m:t>
          </m:r>
        </m:oMath>
      </m:oMathPara>
    </w:p>
    <w:p w14:paraId="401F935B" w14:textId="77777777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Cashflow=120 000+19 000=139 000</m:t>
          </m:r>
        </m:oMath>
      </m:oMathPara>
    </w:p>
    <w:p w14:paraId="347143CB" w14:textId="77777777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Cashflow-Rate=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139 000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770 000</m:t>
              </m:r>
            </m:den>
          </m:f>
          <m:r>
            <w:rPr>
              <w:rFonts w:ascii="Cambria Math" w:hAnsi="Cambria Math"/>
              <w:color w:val="000000" w:themeColor="text1"/>
            </w:rPr>
            <m:t>*100=18,05%</m:t>
          </m:r>
        </m:oMath>
      </m:oMathPara>
    </w:p>
    <w:p w14:paraId="2BC93755" w14:textId="77777777" w:rsidR="009428F7" w:rsidRPr="00E63F15" w:rsidRDefault="009428F7" w:rsidP="009428F7">
      <w:pPr>
        <w:ind w:right="339"/>
        <w:rPr>
          <w:rFonts w:eastAsiaTheme="minorEastAsia"/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Wirtschaftlichkeit=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770 000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650 000</m:t>
              </m:r>
            </m:den>
          </m:f>
          <m:r>
            <w:rPr>
              <w:rFonts w:ascii="Cambria Math" w:hAnsi="Cambria Math"/>
              <w:color w:val="000000" w:themeColor="text1"/>
            </w:rPr>
            <m:t>=1,18</m:t>
          </m:r>
        </m:oMath>
      </m:oMathPara>
    </w:p>
    <w:p w14:paraId="59735180" w14:textId="78428A86" w:rsidR="009428F7" w:rsidRPr="00E63F15" w:rsidRDefault="009428F7" w:rsidP="009428F7">
      <w:pPr>
        <w:ind w:right="339"/>
        <w:rPr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</w:rPr>
            <m:t>Produktiviät=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770 000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41</m:t>
              </m:r>
            </m:den>
          </m:f>
          <m:r>
            <w:rPr>
              <w:rFonts w:ascii="Cambria Math" w:hAnsi="Cambria Math"/>
              <w:color w:val="000000" w:themeColor="text1"/>
            </w:rPr>
            <m:t>=18 780,49</m:t>
          </m:r>
        </m:oMath>
      </m:oMathPara>
    </w:p>
    <w:p w14:paraId="4F610E6D" w14:textId="77777777" w:rsidR="009428F7" w:rsidRDefault="009428F7" w:rsidP="00B51C45"/>
    <w:sectPr w:rsidR="009428F7" w:rsidSect="00B51C45">
      <w:pgSz w:w="11906" w:h="16838"/>
      <w:pgMar w:top="709" w:right="1417" w:bottom="709" w:left="1417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C65F" w14:textId="77777777" w:rsidR="00B51C45" w:rsidRDefault="00B51C45" w:rsidP="00B51C45">
      <w:pPr>
        <w:spacing w:after="0" w:line="240" w:lineRule="auto"/>
      </w:pPr>
      <w:r>
        <w:separator/>
      </w:r>
    </w:p>
  </w:endnote>
  <w:endnote w:type="continuationSeparator" w:id="0">
    <w:p w14:paraId="5ED5298B" w14:textId="77777777" w:rsidR="00B51C45" w:rsidRDefault="00B51C45" w:rsidP="00B5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7B3F0" w14:textId="77777777" w:rsidR="00B51C45" w:rsidRDefault="00B51C45" w:rsidP="00B51C45">
      <w:pPr>
        <w:spacing w:after="0" w:line="240" w:lineRule="auto"/>
      </w:pPr>
      <w:r>
        <w:separator/>
      </w:r>
    </w:p>
  </w:footnote>
  <w:footnote w:type="continuationSeparator" w:id="0">
    <w:p w14:paraId="15E651E6" w14:textId="77777777" w:rsidR="00B51C45" w:rsidRDefault="00B51C45" w:rsidP="00B5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A4A8D"/>
    <w:multiLevelType w:val="hybridMultilevel"/>
    <w:tmpl w:val="095EBACA"/>
    <w:lvl w:ilvl="0" w:tplc="6BAC4536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31"/>
    <w:rsid w:val="002F6F31"/>
    <w:rsid w:val="00581C6A"/>
    <w:rsid w:val="00667F8F"/>
    <w:rsid w:val="006D7099"/>
    <w:rsid w:val="0082477E"/>
    <w:rsid w:val="008D5661"/>
    <w:rsid w:val="009428F7"/>
    <w:rsid w:val="00B51C45"/>
    <w:rsid w:val="00E63F15"/>
    <w:rsid w:val="00F9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17BE"/>
  <w15:chartTrackingRefBased/>
  <w15:docId w15:val="{C13DAE23-B388-463B-98CE-D995D316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6F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6F31"/>
    <w:pPr>
      <w:ind w:left="720"/>
      <w:contextualSpacing/>
    </w:pPr>
  </w:style>
  <w:style w:type="table" w:styleId="Tabellenraster">
    <w:name w:val="Table Grid"/>
    <w:basedOn w:val="NormaleTabelle"/>
    <w:unhideWhenUsed/>
    <w:rsid w:val="00667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5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1C45"/>
  </w:style>
  <w:style w:type="paragraph" w:styleId="Fuzeile">
    <w:name w:val="footer"/>
    <w:basedOn w:val="Standard"/>
    <w:link w:val="FuzeileZchn"/>
    <w:uiPriority w:val="99"/>
    <w:unhideWhenUsed/>
    <w:rsid w:val="00B5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315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Markus Schraut</cp:lastModifiedBy>
  <cp:revision>5</cp:revision>
  <dcterms:created xsi:type="dcterms:W3CDTF">2021-04-26T17:26:00Z</dcterms:created>
  <dcterms:modified xsi:type="dcterms:W3CDTF">2021-06-15T12:50:00Z</dcterms:modified>
</cp:coreProperties>
</file>